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2200" w:lineRule="exact"/>
        <w:jc w:val="distribute"/>
        <w:rPr>
          <w:rFonts w:hint="default" w:ascii="Times New Roman" w:hAnsi="Times New Roman" w:eastAsia="方正小标宋简体" w:cs="Times New Roman"/>
          <w:color w:val="FF0000"/>
          <w:w w:val="44"/>
          <w:sz w:val="160"/>
          <w:szCs w:val="160"/>
        </w:rPr>
      </w:pPr>
      <w:r>
        <w:rPr>
          <w:rFonts w:hint="default" w:ascii="Times New Roman" w:hAnsi="Times New Roman" w:eastAsia="方正小标宋简体" w:cs="Times New Roman"/>
          <w:color w:val="FF0000"/>
          <w:w w:val="44"/>
          <w:sz w:val="160"/>
          <w:szCs w:val="160"/>
        </w:rPr>
        <w:t>泗阳县</w:t>
      </w:r>
      <w:bookmarkStart w:id="0" w:name="_GoBack"/>
      <w:bookmarkEnd w:id="0"/>
      <w:r>
        <w:rPr>
          <w:rFonts w:hint="default" w:ascii="Times New Roman" w:hAnsi="Times New Roman" w:eastAsia="方正小标宋简体" w:cs="Times New Roman"/>
          <w:color w:val="FF0000"/>
          <w:w w:val="44"/>
          <w:sz w:val="160"/>
          <w:szCs w:val="160"/>
        </w:rPr>
        <w:t>人民政府办公室文件</w:t>
      </w:r>
    </w:p>
    <w:p>
      <w:pPr>
        <w:spacing w:before="159" w:beforeLines="50" w:line="600" w:lineRule="exact"/>
        <w:jc w:val="center"/>
        <w:rPr>
          <w:rFonts w:hint="default" w:ascii="Times New Roman" w:hAnsi="Times New Roman" w:eastAsia="仿宋_GB2312" w:cs="Times New Roman"/>
          <w:sz w:val="32"/>
          <w:szCs w:val="22"/>
        </w:rPr>
      </w:pPr>
      <w:r>
        <w:rPr>
          <w:rFonts w:hint="default" w:ascii="Times New Roman" w:hAnsi="Times New Roman" w:eastAsia="仿宋_GB2312" w:cs="Times New Roman"/>
          <w:sz w:val="32"/>
          <w:szCs w:val="22"/>
        </w:rPr>
        <w:t>泗政办发〔202</w:t>
      </w:r>
      <w:r>
        <w:rPr>
          <w:rFonts w:hint="default" w:ascii="Times New Roman" w:hAnsi="Times New Roman" w:eastAsia="仿宋_GB2312" w:cs="Times New Roman"/>
          <w:sz w:val="32"/>
          <w:szCs w:val="22"/>
        </w:rPr>
        <w:t>3</w:t>
      </w:r>
      <w:r>
        <w:rPr>
          <w:rFonts w:hint="default" w:ascii="Times New Roman" w:hAnsi="Times New Roman" w:eastAsia="仿宋_GB2312" w:cs="Times New Roman"/>
          <w:sz w:val="32"/>
          <w:szCs w:val="22"/>
        </w:rPr>
        <w:t>〕</w:t>
      </w:r>
      <w:r>
        <w:rPr>
          <w:rFonts w:hint="default" w:ascii="Times New Roman" w:hAnsi="Times New Roman" w:eastAsia="仿宋_GB2312" w:cs="Times New Roman"/>
          <w:sz w:val="32"/>
          <w:szCs w:val="22"/>
          <w:lang w:val="en-US" w:eastAsia="zh-CN"/>
        </w:rPr>
        <w:t>38</w:t>
      </w:r>
      <w:r>
        <w:rPr>
          <w:rFonts w:hint="default" w:ascii="Times New Roman" w:hAnsi="Times New Roman" w:eastAsia="仿宋_GB2312" w:cs="Times New Roman"/>
          <w:sz w:val="32"/>
          <w:szCs w:val="22"/>
        </w:rPr>
        <w:t>号</w:t>
      </w:r>
    </w:p>
    <w:p>
      <w:pPr>
        <w:spacing w:after="159" w:afterLines="50" w:line="360" w:lineRule="exact"/>
        <w:rPr>
          <w:rFonts w:hint="default" w:ascii="Times New Roman" w:hAnsi="Times New Roman" w:eastAsia="方正小标宋简体" w:cs="Times New Roman"/>
          <w:sz w:val="44"/>
        </w:rPr>
      </w:pP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-69215</wp:posOffset>
                </wp:positionH>
                <wp:positionV relativeFrom="paragraph">
                  <wp:posOffset>249555</wp:posOffset>
                </wp:positionV>
                <wp:extent cx="5831840" cy="0"/>
                <wp:effectExtent l="0" t="19050" r="16510" b="1905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31840" cy="0"/>
                        </a:xfrm>
                        <a:prstGeom prst="line">
                          <a:avLst/>
                        </a:prstGeom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.45pt;margin-top:19.65pt;height:0pt;width:459.2pt;z-index:251661312;mso-width-relative:page;mso-height-relative:page;" filled="f" stroked="t" coordsize="21600,21600" o:gfxdata="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Cf6o6y2wAAAAkBAAAPAAAAAAAAAAEAIAAAACIAAABkcnMvZG93bnJldi54&#10;bWxQSwECFAAUAAAACACHTuJAc3dR5PcBAADlAwAADgAAAAAAAAABACAAAAAqAQAAZHJzL2Uyb0Rv&#10;Yy54bWxQSwUGAAAAAAYABgBZAQAAkwUAAAAA&#10;">
                <v:fill on="f" focussize="0,0"/>
                <v:stroke weight="3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212725</wp:posOffset>
                </wp:positionV>
                <wp:extent cx="5600700" cy="635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635"/>
                        </a:xfrm>
                        <a:prstGeom prst="line">
                          <a:avLst/>
                        </a:prstGeom>
                        <a:ln w="38100"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16.75pt;height:0.05pt;width:441pt;z-index:251660288;mso-width-relative:page;mso-height-relative:page;" filled="f" stroked="f" coordsize="21600,21600" o:gfxdata="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">
                <v:fill on="f" focussize="0,0"/>
                <v:stroke on="f" weight="3pt"/>
                <v:imagedata o:title=""/>
                <o:lock v:ext="edit" aspectratio="f"/>
              </v:line>
            </w:pict>
          </mc:Fallback>
        </mc:AlternateContent>
      </w:r>
    </w:p>
    <w:p>
      <w:pPr>
        <w:spacing w:line="480" w:lineRule="exact"/>
        <w:jc w:val="center"/>
        <w:rPr>
          <w:rFonts w:hint="default" w:ascii="Times New Roman" w:hAnsi="Times New Roman" w:eastAsia="方正小标宋简体" w:cs="Times New Roman"/>
          <w:sz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rPr>
          <w:rFonts w:hint="default" w:ascii="Times New Roman" w:hAnsi="Times New Roman" w:eastAsia="方正小标宋_GBK" w:cs="Times New Roman"/>
          <w:spacing w:val="0"/>
          <w:sz w:val="44"/>
        </w:rPr>
      </w:pPr>
      <w:r>
        <w:rPr>
          <w:rFonts w:hint="default" w:ascii="Times New Roman" w:hAnsi="Times New Roman" w:eastAsia="方正小标宋_GBK" w:cs="Times New Roman"/>
          <w:spacing w:val="0"/>
          <w:sz w:val="44"/>
        </w:rPr>
        <w:t>县人民政府办公室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rPr>
          <w:rFonts w:hint="default" w:ascii="Times New Roman" w:hAnsi="Times New Roman" w:eastAsia="方正小标宋简体" w:cs="Times New Roman"/>
          <w:color w:val="auto"/>
          <w:spacing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auto"/>
          <w:spacing w:val="0"/>
          <w:sz w:val="44"/>
          <w:szCs w:val="44"/>
        </w:rPr>
        <w:t>关于</w:t>
      </w:r>
      <w:r>
        <w:rPr>
          <w:rFonts w:hint="default" w:ascii="Times New Roman" w:hAnsi="Times New Roman" w:eastAsia="方正小标宋简体" w:cs="Times New Roman"/>
          <w:color w:val="auto"/>
          <w:spacing w:val="0"/>
          <w:sz w:val="44"/>
          <w:szCs w:val="44"/>
          <w:lang w:val="en-US" w:eastAsia="zh-CN"/>
        </w:rPr>
        <w:t>印发泗阳县</w:t>
      </w:r>
      <w:r>
        <w:rPr>
          <w:rFonts w:hint="default" w:ascii="Times New Roman" w:hAnsi="Times New Roman" w:eastAsia="方正小标宋简体" w:cs="Times New Roman"/>
          <w:color w:val="auto"/>
          <w:spacing w:val="0"/>
          <w:sz w:val="44"/>
          <w:szCs w:val="44"/>
        </w:rPr>
        <w:t>饮用水水源地管理和保护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rPr>
          <w:rFonts w:hint="default" w:ascii="Times New Roman" w:hAnsi="Times New Roman" w:eastAsia="方正小标宋_GBK" w:cs="Times New Roman"/>
          <w:color w:val="auto"/>
          <w:spacing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auto"/>
          <w:spacing w:val="0"/>
          <w:sz w:val="44"/>
          <w:szCs w:val="44"/>
        </w:rPr>
        <w:t>工作实施方案</w:t>
      </w:r>
      <w:r>
        <w:rPr>
          <w:rFonts w:hint="default" w:ascii="Times New Roman" w:hAnsi="Times New Roman" w:eastAsia="方正小标宋简体" w:cs="Times New Roman"/>
          <w:bCs/>
          <w:color w:val="auto"/>
          <w:spacing w:val="0"/>
          <w:sz w:val="44"/>
          <w:szCs w:val="44"/>
          <w:lang w:val="en-US" w:eastAsia="zh-CN"/>
        </w:rPr>
        <w:t>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rPr>
          <w:rFonts w:hint="default" w:ascii="Times New Roman" w:hAnsi="Times New Roman" w:eastAsia="方正楷体_GBK" w:cs="Times New Roman"/>
          <w:color w:val="auto"/>
          <w:spacing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baseline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</w:rPr>
        <w:t>各乡镇人民政府，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lang w:val="en-US" w:eastAsia="zh-CN"/>
        </w:rPr>
        <w:t>各街道办事处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lang w:val="en-US" w:eastAsia="zh-CN"/>
        </w:rPr>
        <w:t>，各园区（场）管委会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</w:rPr>
        <w:t>县各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lang w:val="en-US" w:eastAsia="zh-CN"/>
        </w:rPr>
        <w:t>委办局，县各直属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</w:rPr>
        <w:t>单位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lang w:val="en-US" w:eastAsia="zh-CN"/>
        </w:rPr>
        <w:t>现将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</w:rPr>
        <w:t>《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lang w:val="en-US" w:eastAsia="zh-CN"/>
        </w:rPr>
        <w:t>泗阳县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lang w:eastAsia="zh-CN"/>
        </w:rPr>
        <w:t>饮用水水源地管理和保护工作实施方案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</w:rPr>
        <w:t>》印发给你们，请认真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lang w:val="en-US" w:eastAsia="zh-CN"/>
        </w:rPr>
        <w:t>组织实施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rPr>
          <w:rFonts w:hint="default" w:ascii="Times New Roman" w:hAnsi="Times New Roman" w:eastAsia="仿宋_GB2312" w:cs="Times New Roman"/>
          <w:color w:val="auto"/>
          <w:spacing w:val="0"/>
          <w:sz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</w:rPr>
        <w:t>　　　　　　　　　　　　　　　泗阳县人民政府办公室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rPr>
          <w:rFonts w:hint="default" w:ascii="Times New Roman" w:hAnsi="Times New Roman" w:eastAsia="仿宋_GB2312" w:cs="Times New Roman"/>
          <w:color w:val="auto"/>
          <w:spacing w:val="0"/>
          <w:sz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</w:rPr>
        <w:t>　　　　　　　　　　　　　　　20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lang w:val="en-US" w:eastAsia="zh-CN"/>
        </w:rPr>
        <w:t>23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</w:rPr>
        <w:t>年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</w:rPr>
        <w:t>月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lang w:val="en-US" w:eastAsia="zh-CN"/>
        </w:rPr>
        <w:t>16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rPr>
          <w:rFonts w:hint="default" w:ascii="Times New Roman" w:hAnsi="Times New Roman" w:eastAsia="仿宋_GB2312" w:cs="Times New Roman"/>
          <w:color w:val="auto"/>
          <w:spacing w:val="0"/>
          <w:sz w:val="32"/>
        </w:rPr>
      </w:pP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0" w:lineRule="exact"/>
        <w:ind w:left="0" w:leftChars="0" w:firstLine="640" w:firstLineChars="200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18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880" w:firstLineChars="200"/>
        <w:textAlignment w:val="auto"/>
        <w:rPr>
          <w:rFonts w:hint="default" w:ascii="Times New Roman" w:hAnsi="Times New Roman" w:eastAsia="方正小标宋简体" w:cs="Times New Roman"/>
          <w:color w:val="auto"/>
          <w:spacing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pacing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spacing w:val="0"/>
          <w:sz w:val="44"/>
          <w:szCs w:val="44"/>
          <w:lang w:val="en-US" w:eastAsia="zh-CN"/>
        </w:rPr>
        <w:t>泗阳县</w:t>
      </w:r>
      <w:r>
        <w:rPr>
          <w:rFonts w:hint="default" w:ascii="Times New Roman" w:hAnsi="Times New Roman" w:eastAsia="方正小标宋简体" w:cs="Times New Roman"/>
          <w:color w:val="auto"/>
          <w:spacing w:val="0"/>
          <w:sz w:val="44"/>
          <w:szCs w:val="44"/>
          <w:lang w:val="en-US" w:eastAsia="zh-CN"/>
        </w:rPr>
        <w:t>饮用水水源地管理和保护工作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pacing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spacing w:val="0"/>
          <w:sz w:val="44"/>
          <w:szCs w:val="44"/>
          <w:lang w:val="en-US" w:eastAsia="zh-CN"/>
        </w:rPr>
        <w:t>实</w:t>
      </w:r>
      <w:r>
        <w:rPr>
          <w:rFonts w:hint="default" w:ascii="Times New Roman" w:hAnsi="Times New Roman" w:eastAsia="方正小标宋简体" w:cs="Times New Roman"/>
          <w:color w:val="auto"/>
          <w:spacing w:val="0"/>
          <w:sz w:val="44"/>
          <w:szCs w:val="44"/>
          <w:lang w:val="en-US" w:eastAsia="zh-CN"/>
        </w:rPr>
        <w:t xml:space="preserve"> </w:t>
      </w:r>
      <w:r>
        <w:rPr>
          <w:rFonts w:hint="default" w:ascii="Times New Roman" w:hAnsi="Times New Roman" w:eastAsia="方正小标宋简体" w:cs="Times New Roman"/>
          <w:color w:val="auto"/>
          <w:spacing w:val="0"/>
          <w:sz w:val="44"/>
          <w:szCs w:val="44"/>
          <w:lang w:val="en-US" w:eastAsia="zh-CN"/>
        </w:rPr>
        <w:t>施</w:t>
      </w:r>
      <w:r>
        <w:rPr>
          <w:rFonts w:hint="default" w:ascii="Times New Roman" w:hAnsi="Times New Roman" w:eastAsia="方正小标宋简体" w:cs="Times New Roman"/>
          <w:color w:val="auto"/>
          <w:spacing w:val="0"/>
          <w:sz w:val="44"/>
          <w:szCs w:val="44"/>
          <w:lang w:val="en-US" w:eastAsia="zh-CN"/>
        </w:rPr>
        <w:t xml:space="preserve"> </w:t>
      </w:r>
      <w:r>
        <w:rPr>
          <w:rFonts w:hint="default" w:ascii="Times New Roman" w:hAnsi="Times New Roman" w:eastAsia="方正小标宋简体" w:cs="Times New Roman"/>
          <w:color w:val="auto"/>
          <w:spacing w:val="0"/>
          <w:sz w:val="44"/>
          <w:szCs w:val="44"/>
          <w:lang w:val="en-US" w:eastAsia="zh-CN"/>
        </w:rPr>
        <w:t>方</w:t>
      </w:r>
      <w:r>
        <w:rPr>
          <w:rFonts w:hint="default" w:ascii="Times New Roman" w:hAnsi="Times New Roman" w:eastAsia="方正小标宋简体" w:cs="Times New Roman"/>
          <w:color w:val="auto"/>
          <w:spacing w:val="0"/>
          <w:sz w:val="44"/>
          <w:szCs w:val="44"/>
          <w:lang w:val="en-US" w:eastAsia="zh-CN"/>
        </w:rPr>
        <w:t xml:space="preserve"> </w:t>
      </w:r>
      <w:r>
        <w:rPr>
          <w:rFonts w:hint="default" w:ascii="Times New Roman" w:hAnsi="Times New Roman" w:eastAsia="方正小标宋简体" w:cs="Times New Roman"/>
          <w:color w:val="auto"/>
          <w:spacing w:val="0"/>
          <w:sz w:val="44"/>
          <w:szCs w:val="44"/>
          <w:lang w:val="en-US" w:eastAsia="zh-CN"/>
        </w:rPr>
        <w:t>案</w:t>
      </w:r>
    </w:p>
    <w:p>
      <w:pPr>
        <w:keepNext w:val="0"/>
        <w:keepLines w:val="0"/>
        <w:pageBreakBefore w:val="0"/>
        <w:widowControl w:val="0"/>
        <w:tabs>
          <w:tab w:val="left" w:pos="18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tabs>
          <w:tab w:val="left" w:pos="18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  <w:t>为加强我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  <w:lang w:val="en-US" w:eastAsia="zh-CN"/>
        </w:rPr>
        <w:t>县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  <w:t>饮用水水源地管理和保护，从源头保障城乡居民饮用水安全，根据省人大常委会《关于加强饮用水源地保护的决定》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  <w:t>省政府办公厅《关于加强全省饮用水源地管理与保护工作的意见》（苏政办发〔2017〕85号）、市政府办公室《关于加强全市饮用水水源地管理和保护的实施意见》（宿政办发〔2018〕91号）等有关要求，结合我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  <w:lang w:val="en-US" w:eastAsia="zh-CN"/>
        </w:rPr>
        <w:t>县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  <w:t>实际，制定本方案。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</w:rPr>
        <w:t>一、指导思想</w:t>
      </w:r>
    </w:p>
    <w:p>
      <w:pPr>
        <w:keepNext w:val="0"/>
        <w:keepLines w:val="0"/>
        <w:pageBreakBefore w:val="0"/>
        <w:widowControl w:val="0"/>
        <w:tabs>
          <w:tab w:val="left" w:pos="18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  <w:lang w:val="en-US" w:eastAsia="zh-CN"/>
        </w:rPr>
        <w:t>坚持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  <w:t>以习近平生态文明思想为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  <w:lang w:val="en-US" w:eastAsia="zh-CN"/>
        </w:rPr>
        <w:t>指导，全面贯彻落实党的二十大精神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  <w:t>，按照“节水优先、空间均衡、系统治理、两手发力”新时期治水方针的要求，以保障饮用水安全为目标，以强化饮用水水源地管理和保护为抓手，健全工作机制，压实工作责任，加强执法监督，规范整治管理，提升饮用水水源地管理和保护水平，提高城乡居民饮用水质量，确保全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  <w:lang w:val="en-US" w:eastAsia="zh-CN"/>
        </w:rPr>
        <w:t>县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  <w:t>饮用水安全。</w:t>
      </w:r>
    </w:p>
    <w:p>
      <w:pPr>
        <w:keepNext w:val="0"/>
        <w:keepLines w:val="0"/>
        <w:pageBreakBefore w:val="0"/>
        <w:widowControl w:val="0"/>
        <w:tabs>
          <w:tab w:val="left" w:pos="18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</w:rPr>
        <w:t>二、工作目标</w:t>
      </w:r>
    </w:p>
    <w:p>
      <w:pPr>
        <w:keepNext w:val="0"/>
        <w:keepLines w:val="0"/>
        <w:pageBreakBefore w:val="0"/>
        <w:widowControl w:val="0"/>
        <w:tabs>
          <w:tab w:val="left" w:pos="18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  <w:t>按照“实行从水源地到水龙头全过程监管”的要求，进一步明确和落实责任、健全制度、提高能力、规范管理，形成齐抓共管的工作格局，强化饮用水水源地长效管理和保护；加大水源地整治督查、巡查力度，及时发现并解决对水源地有影响的问题和行为，坚决杜绝“解决老问题，产生新问题”现象，确保问题整改长效保持、不反弹，保证饮用水水质安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  <w:lang w:val="en-US" w:eastAsia="zh-CN"/>
        </w:rPr>
        <w:t>三</w:t>
      </w: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</w:rPr>
        <w:t>、保护区</w:t>
      </w: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  <w:lang w:val="en-US" w:eastAsia="zh-CN"/>
        </w:rPr>
        <w:t>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我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县集中式饮用水源分为河流型和湖泊型，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分别为中运河竹络坝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水源地、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中运河双桥水源地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成子湖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卢集备用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饮用水源地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和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中运河姜桥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水源地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饮用水源地保护区域划分如下：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auto"/>
          <w:spacing w:val="0"/>
          <w:sz w:val="32"/>
          <w:szCs w:val="32"/>
          <w:highlight w:val="none"/>
          <w:lang w:val="en-US" w:eastAsia="zh-CN"/>
        </w:rPr>
        <w:t>（一）</w:t>
      </w:r>
      <w:r>
        <w:rPr>
          <w:rFonts w:hint="default" w:ascii="Times New Roman" w:hAnsi="Times New Roman" w:eastAsia="楷体_GB2312" w:cs="Times New Roman"/>
          <w:color w:val="auto"/>
          <w:spacing w:val="0"/>
          <w:sz w:val="32"/>
          <w:szCs w:val="32"/>
          <w:highlight w:val="none"/>
          <w:lang w:val="en-US" w:eastAsia="zh-CN"/>
        </w:rPr>
        <w:t>中运河竹络坝水源地：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取水口坐标为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E118°41′6.66″，N33°42′8.42″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一级保护区区域为以取水口为中心，向东1000米（至泗阳船闸西侧250米处），向西1000米（至泗水阁东侧300米处）及其两岸背水坡之间的水域范围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和与之相对应的两岸背水坡堤脚外100米之间的陆域范围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；二级保护区区域为一级保护区以外向东延伸2000米（至泗阳县朱庄），向西延伸1550米（至西安路大桥东侧450米处，双桥水源地二级保护区东边界）的水域范围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和与之相对应的两岸背水坡堤脚外100米之间的陆域范围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；准保护区区域为在二级保护区以外向东延伸2000米（至泗阳县陶庄）的水域范围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和与之相对应的两岸背水坡堤脚外100米之间的陆域范围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color w:val="auto"/>
          <w:spacing w:val="0"/>
          <w:sz w:val="32"/>
          <w:szCs w:val="32"/>
          <w:highlight w:val="none"/>
          <w:lang w:val="en-US" w:eastAsia="zh-CN"/>
        </w:rPr>
        <w:t>（二）</w:t>
      </w:r>
      <w:r>
        <w:rPr>
          <w:rFonts w:hint="default" w:ascii="Times New Roman" w:hAnsi="Times New Roman" w:eastAsia="楷体_GB2312" w:cs="Times New Roman"/>
          <w:color w:val="auto"/>
          <w:spacing w:val="0"/>
          <w:sz w:val="32"/>
          <w:szCs w:val="32"/>
          <w:highlight w:val="none"/>
          <w:lang w:val="en-US" w:eastAsia="zh-CN"/>
        </w:rPr>
        <w:t>中运河双桥水源地：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取水口坐标为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E118°37′59.25″，N33°43′1.91″；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一级保护区区域为以取水口为中心，向东1000米（至杨家圩），向西1000米（至周庄），及其两岸背水坡之间的水域范围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和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与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之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相对应的两岸背水坡堤脚外100米之间的陆域范围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二级保护区区域为一级保护区以外向东延伸1550米（至西安路大桥东侧450米处，竹络坝水源地二级保护区西边界），向西延伸2000米（至王庄）的水域范围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和与之相对应的两岸背水坡堤脚外100米之间的陆域范围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；准保护区区域为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二级保护区以外向西延伸2000米（至泗阳京杭运河四号桥西侧200米处）的水域范围和与之相对应的两岸背水坡堤脚外100米之间的陆域范围。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auto"/>
          <w:spacing w:val="0"/>
          <w:sz w:val="32"/>
          <w:szCs w:val="32"/>
          <w:highlight w:val="none"/>
          <w:lang w:val="en-US" w:eastAsia="zh-CN"/>
        </w:rPr>
        <w:t>（三）</w:t>
      </w:r>
      <w:r>
        <w:rPr>
          <w:rFonts w:hint="default" w:ascii="Times New Roman" w:hAnsi="Times New Roman" w:eastAsia="楷体_GB2312" w:cs="Times New Roman"/>
          <w:color w:val="auto"/>
          <w:spacing w:val="0"/>
          <w:sz w:val="32"/>
          <w:szCs w:val="32"/>
          <w:highlight w:val="none"/>
          <w:lang w:val="en-US" w:eastAsia="zh-CN"/>
        </w:rPr>
        <w:t>成子湖卢集</w:t>
      </w:r>
      <w:r>
        <w:rPr>
          <w:rFonts w:hint="default" w:ascii="Times New Roman" w:hAnsi="Times New Roman" w:eastAsia="楷体_GB2312" w:cs="Times New Roman"/>
          <w:color w:val="auto"/>
          <w:spacing w:val="0"/>
          <w:sz w:val="32"/>
          <w:szCs w:val="32"/>
          <w:highlight w:val="none"/>
          <w:lang w:val="en-US" w:eastAsia="zh-CN"/>
        </w:rPr>
        <w:t>备用</w:t>
      </w:r>
      <w:r>
        <w:rPr>
          <w:rFonts w:hint="default" w:ascii="Times New Roman" w:hAnsi="Times New Roman" w:eastAsia="楷体_GB2312" w:cs="Times New Roman"/>
          <w:color w:val="auto"/>
          <w:spacing w:val="0"/>
          <w:sz w:val="32"/>
          <w:szCs w:val="32"/>
          <w:highlight w:val="none"/>
          <w:lang w:val="en-US" w:eastAsia="zh-CN"/>
        </w:rPr>
        <w:t>水源地：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取水口坐标为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E118°34′15.04″，N33°35′57.87″；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一级保护区区域为以取水口为圆心，半径为500米的水域和陆域范围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二级保护区区域为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一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级保护区外，外延2000米的水域和陆域范围；准保护区区域为二级保护区外，外延500米的水域和陆域范围。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auto"/>
          <w:spacing w:val="0"/>
          <w:sz w:val="32"/>
          <w:szCs w:val="32"/>
          <w:highlight w:val="none"/>
          <w:lang w:val="en-US" w:eastAsia="zh-CN"/>
        </w:rPr>
        <w:t>（四）</w:t>
      </w:r>
      <w:r>
        <w:rPr>
          <w:rFonts w:hint="default" w:ascii="Times New Roman" w:hAnsi="Times New Roman" w:eastAsia="楷体_GB2312" w:cs="Times New Roman"/>
          <w:color w:val="auto"/>
          <w:spacing w:val="0"/>
          <w:sz w:val="32"/>
          <w:szCs w:val="32"/>
          <w:highlight w:val="none"/>
          <w:lang w:val="en-US" w:eastAsia="zh-CN"/>
        </w:rPr>
        <w:t>中运河姜桥</w:t>
      </w:r>
      <w:r>
        <w:rPr>
          <w:rFonts w:hint="default" w:ascii="Times New Roman" w:hAnsi="Times New Roman" w:eastAsia="楷体_GB2312" w:cs="Times New Roman"/>
          <w:color w:val="auto"/>
          <w:spacing w:val="0"/>
          <w:sz w:val="32"/>
          <w:szCs w:val="32"/>
          <w:highlight w:val="none"/>
        </w:rPr>
        <w:t>水源地：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取水口坐标为E118°37′7.75″，N33°43′30.20″；一级保护区区域为以取水口为中心，向东1000米（至运河村），向西1000米（至小堆组），及其两岸背水坡之间的水域范围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和与相之对应的两岸背水坡堤脚外100米之间的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陆域范围；二级保护区区域为一级保护区以外向东延伸2000米（至左岸逸品东），向西延伸2000米（至京杭运河泗阳四号桥），成子河与中运河交汇口上溯至成子河闸的水域范围和与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之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相对应的两岸背水坡堤脚外100米之间的陆域范围；准保护区区域为二级保护区以外向东延伸2000米（至望湖名都），向西延伸2000米（至丁庄组）的水域范围和与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之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相对应的两岸背水坡堤脚外100米之间的陆域范围。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  <w:lang w:val="en-US" w:eastAsia="zh-CN"/>
        </w:rPr>
        <w:t>四、</w:t>
      </w: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</w:rPr>
        <w:t>工作内容</w:t>
      </w:r>
    </w:p>
    <w:p>
      <w:pPr>
        <w:keepNext w:val="0"/>
        <w:keepLines w:val="0"/>
        <w:pageBreakBefore w:val="0"/>
        <w:widowControl w:val="0"/>
        <w:tabs>
          <w:tab w:val="left" w:pos="18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楷体_GB2312" w:cs="Times New Roman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color w:val="auto"/>
          <w:spacing w:val="0"/>
          <w:sz w:val="32"/>
          <w:szCs w:val="32"/>
          <w:highlight w:val="none"/>
        </w:rPr>
        <w:t>（一）规范设置水源地标牌及隔离设施。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  <w:t>在中运河竹络坝水源地、中运河双桥水源地、成子湖卢集备用饮用水源地和中运河姜桥水源地一级、二级及准保护区的边界设置界标、交通警示牌、宣传牌等三类标志牌。标牌设置参照《饮用水水源保护区标志技术要求》（HJ/T433）规定，统一类型、统一位置、统一内容。</w:t>
      </w:r>
    </w:p>
    <w:p>
      <w:pPr>
        <w:keepNext w:val="0"/>
        <w:keepLines w:val="0"/>
        <w:pageBreakBefore w:val="0"/>
        <w:widowControl w:val="0"/>
        <w:tabs>
          <w:tab w:val="left" w:pos="18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</w:pPr>
      <w:r>
        <w:rPr>
          <w:rFonts w:hint="default" w:ascii="Times New Roman" w:hAnsi="Times New Roman" w:eastAsia="楷体_GB2312" w:cs="Times New Roman"/>
          <w:color w:val="auto"/>
          <w:spacing w:val="0"/>
          <w:sz w:val="32"/>
          <w:szCs w:val="32"/>
          <w:highlight w:val="none"/>
        </w:rPr>
        <w:t>（</w:t>
      </w:r>
      <w:r>
        <w:rPr>
          <w:rFonts w:hint="default" w:ascii="Times New Roman" w:hAnsi="Times New Roman" w:eastAsia="楷体_GB2312" w:cs="Times New Roman"/>
          <w:color w:val="auto"/>
          <w:spacing w:val="0"/>
          <w:sz w:val="32"/>
          <w:szCs w:val="32"/>
          <w:highlight w:val="none"/>
          <w:lang w:val="en-US" w:eastAsia="zh-CN"/>
        </w:rPr>
        <w:t>二</w:t>
      </w:r>
      <w:r>
        <w:rPr>
          <w:rFonts w:hint="default" w:ascii="Times New Roman" w:hAnsi="Times New Roman" w:eastAsia="楷体_GB2312" w:cs="Times New Roman"/>
          <w:color w:val="auto"/>
          <w:spacing w:val="0"/>
          <w:sz w:val="32"/>
          <w:szCs w:val="32"/>
          <w:highlight w:val="none"/>
        </w:rPr>
        <w:t>）持续开展水源地风险隐患综合整治。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  <w:t>在前期整治的基础上，继续巩固整治成果，不定期开展饮用水水源地风险隐患“回头看”，严防问题反弹，对日常巡查中发现的问题要迅速开展整治工作。</w:t>
      </w:r>
    </w:p>
    <w:p>
      <w:pPr>
        <w:keepNext w:val="0"/>
        <w:keepLines w:val="0"/>
        <w:pageBreakBefore w:val="0"/>
        <w:widowControl w:val="0"/>
        <w:tabs>
          <w:tab w:val="left" w:pos="18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</w:pPr>
      <w:r>
        <w:rPr>
          <w:rFonts w:hint="default" w:ascii="Times New Roman" w:hAnsi="Times New Roman" w:eastAsia="楷体_GB2312" w:cs="Times New Roman"/>
          <w:color w:val="auto"/>
          <w:spacing w:val="0"/>
          <w:sz w:val="32"/>
          <w:szCs w:val="32"/>
          <w:highlight w:val="none"/>
        </w:rPr>
        <w:t>（</w:t>
      </w:r>
      <w:r>
        <w:rPr>
          <w:rFonts w:hint="default" w:ascii="Times New Roman" w:hAnsi="Times New Roman" w:eastAsia="楷体_GB2312" w:cs="Times New Roman"/>
          <w:color w:val="auto"/>
          <w:spacing w:val="0"/>
          <w:sz w:val="32"/>
          <w:szCs w:val="32"/>
          <w:highlight w:val="none"/>
          <w:lang w:val="en-US" w:eastAsia="zh-CN"/>
        </w:rPr>
        <w:t>三</w:t>
      </w:r>
      <w:r>
        <w:rPr>
          <w:rFonts w:hint="default" w:ascii="Times New Roman" w:hAnsi="Times New Roman" w:eastAsia="楷体_GB2312" w:cs="Times New Roman"/>
          <w:color w:val="auto"/>
          <w:spacing w:val="0"/>
          <w:sz w:val="32"/>
          <w:szCs w:val="32"/>
          <w:highlight w:val="none"/>
        </w:rPr>
        <w:t>）加强水源地水利工程维修与养护。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  <w:t>强化日常巡查，加强监测，保持饮用水水源地取水口附近河岸及河床稳定，确保饮用水水源地水利工程安全高效运行。把保障水源地安全作为水利工程调度的首要因素，通过优化工程调度，确保在枯水季节饮用水水源地河道合理流量；在泄洪排涝期间，特别是每年汛期第一场洪水来临时，通过上下游联动，优化水利工程调度，保障水源地水质安全。</w:t>
      </w:r>
    </w:p>
    <w:p>
      <w:pPr>
        <w:keepNext w:val="0"/>
        <w:keepLines w:val="0"/>
        <w:pageBreakBefore w:val="0"/>
        <w:widowControl w:val="0"/>
        <w:tabs>
          <w:tab w:val="left" w:pos="18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color w:val="auto"/>
          <w:spacing w:val="0"/>
          <w:sz w:val="32"/>
          <w:szCs w:val="32"/>
          <w:highlight w:val="none"/>
        </w:rPr>
        <w:t>（</w:t>
      </w:r>
      <w:r>
        <w:rPr>
          <w:rFonts w:hint="default" w:ascii="Times New Roman" w:hAnsi="Times New Roman" w:eastAsia="楷体_GB2312" w:cs="Times New Roman"/>
          <w:color w:val="auto"/>
          <w:spacing w:val="0"/>
          <w:sz w:val="32"/>
          <w:szCs w:val="32"/>
          <w:highlight w:val="none"/>
          <w:lang w:val="en-US" w:eastAsia="zh-CN"/>
        </w:rPr>
        <w:t>四</w:t>
      </w:r>
      <w:r>
        <w:rPr>
          <w:rFonts w:hint="default" w:ascii="Times New Roman" w:hAnsi="Times New Roman" w:eastAsia="楷体_GB2312" w:cs="Times New Roman"/>
          <w:color w:val="auto"/>
          <w:spacing w:val="0"/>
          <w:sz w:val="32"/>
          <w:szCs w:val="32"/>
          <w:highlight w:val="none"/>
        </w:rPr>
        <w:t>）加强水源地监测与信息发布。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  <w:lang w:val="en-US" w:eastAsia="zh-CN"/>
        </w:rPr>
        <w:t>整合饮用水水源水质监测资源，做到信息互通共享。科学划分确定监测范围、点位和项目，不断增强水质自动监测监控和预警能力，动态掌握水质和风险状况。加强水源地水量、水质监测，依法发布水文情报预报。定期监测饮用水水源地环境质量，依法发布环境状况公报，及时通报突发事故相关信息；做好饮用水水源地取水口水质监测工作，定期通报水质状况。在水源地水质监测过程中，一旦发现异常情况，应按规定及时报告县政府，并通报相关部门，积极做好应急响应和处置工作。</w:t>
      </w:r>
    </w:p>
    <w:p>
      <w:pPr>
        <w:keepNext w:val="0"/>
        <w:keepLines w:val="0"/>
        <w:pageBreakBefore w:val="0"/>
        <w:widowControl w:val="0"/>
        <w:tabs>
          <w:tab w:val="left" w:pos="18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</w:pPr>
      <w:r>
        <w:rPr>
          <w:rFonts w:hint="default" w:ascii="Times New Roman" w:hAnsi="Times New Roman" w:eastAsia="楷体_GB2312" w:cs="Times New Roman"/>
          <w:color w:val="auto"/>
          <w:spacing w:val="0"/>
          <w:sz w:val="32"/>
          <w:szCs w:val="32"/>
          <w:highlight w:val="none"/>
        </w:rPr>
        <w:t>（</w:t>
      </w:r>
      <w:r>
        <w:rPr>
          <w:rFonts w:hint="default" w:ascii="Times New Roman" w:hAnsi="Times New Roman" w:eastAsia="楷体_GB2312" w:cs="Times New Roman"/>
          <w:color w:val="auto"/>
          <w:spacing w:val="0"/>
          <w:sz w:val="32"/>
          <w:szCs w:val="32"/>
          <w:highlight w:val="none"/>
          <w:lang w:val="en-US" w:eastAsia="zh-CN"/>
        </w:rPr>
        <w:t>五</w:t>
      </w:r>
      <w:r>
        <w:rPr>
          <w:rFonts w:hint="default" w:ascii="Times New Roman" w:hAnsi="Times New Roman" w:eastAsia="楷体_GB2312" w:cs="Times New Roman"/>
          <w:color w:val="auto"/>
          <w:spacing w:val="0"/>
          <w:sz w:val="32"/>
          <w:szCs w:val="32"/>
          <w:highlight w:val="none"/>
        </w:rPr>
        <w:t>）强化水源地长效管理和保护。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  <w:t>实施水源地巡查监管常态化，采取日常巡查、定期巡查、突出巡查、专项巡查和重点巡查相结合，一级保护区做到每日巡查，二级保护区现场巡查每月不少于3次，准保护区现场巡查每月不少于1次，发现污染问题或风险隐患，应及时报告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  <w:lang w:val="en-US" w:eastAsia="zh-CN"/>
        </w:rPr>
        <w:t>县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  <w:t>政府。强化保护饮用水水源地的部门联动、协作，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  <w:lang w:val="en-US" w:eastAsia="zh-CN"/>
        </w:rPr>
        <w:t>建立健全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  <w:t>联席会议和重大事项会商机制，不定期研究布置水源地安全保障工作，加大饮用水水源地执法监管力度。</w:t>
      </w:r>
    </w:p>
    <w:p>
      <w:pPr>
        <w:keepNext w:val="0"/>
        <w:keepLines w:val="0"/>
        <w:pageBreakBefore w:val="0"/>
        <w:widowControl w:val="0"/>
        <w:tabs>
          <w:tab w:val="left" w:pos="18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</w:pPr>
      <w:r>
        <w:rPr>
          <w:rFonts w:hint="default" w:ascii="Times New Roman" w:hAnsi="Times New Roman" w:eastAsia="楷体_GB2312" w:cs="Times New Roman"/>
          <w:color w:val="auto"/>
          <w:spacing w:val="0"/>
          <w:sz w:val="32"/>
          <w:szCs w:val="32"/>
          <w:highlight w:val="none"/>
        </w:rPr>
        <w:t>（</w:t>
      </w:r>
      <w:r>
        <w:rPr>
          <w:rFonts w:hint="default" w:ascii="Times New Roman" w:hAnsi="Times New Roman" w:eastAsia="楷体_GB2312" w:cs="Times New Roman"/>
          <w:color w:val="auto"/>
          <w:spacing w:val="0"/>
          <w:sz w:val="32"/>
          <w:szCs w:val="32"/>
          <w:highlight w:val="none"/>
          <w:lang w:val="en-US" w:eastAsia="zh-CN"/>
        </w:rPr>
        <w:t>六</w:t>
      </w:r>
      <w:r>
        <w:rPr>
          <w:rFonts w:hint="default" w:ascii="Times New Roman" w:hAnsi="Times New Roman" w:eastAsia="楷体_GB2312" w:cs="Times New Roman"/>
          <w:color w:val="auto"/>
          <w:spacing w:val="0"/>
          <w:sz w:val="32"/>
          <w:szCs w:val="32"/>
          <w:highlight w:val="none"/>
        </w:rPr>
        <w:t>）定期开展水源地水量与水质安全评估。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  <w:t>每两年组织开展1次饮用水水源地安全调查评估，定期开展水源地水量与水质安全评估，定期检查各项管理和保护措施落实情况，及时掌握饮用水水源地安全状况。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</w:rPr>
        <w:t>五、工作职责</w:t>
      </w:r>
    </w:p>
    <w:p>
      <w:pPr>
        <w:keepNext w:val="0"/>
        <w:keepLines w:val="0"/>
        <w:pageBreakBefore w:val="0"/>
        <w:widowControl w:val="0"/>
        <w:tabs>
          <w:tab w:val="left" w:pos="18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highlight w:val="red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  <w:t>（一）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  <w:lang w:val="en-US" w:eastAsia="zh-CN"/>
        </w:rPr>
        <w:t>县委宣传部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  <w:t>：负责指导应对水源地突发事件宣传工作。指导应急期间的新闻发布、对外通报和信息公开等，正确引导社会舆论。</w:t>
      </w:r>
    </w:p>
    <w:p>
      <w:pPr>
        <w:keepNext w:val="0"/>
        <w:keepLines w:val="0"/>
        <w:pageBreakBefore w:val="0"/>
        <w:widowControl w:val="0"/>
        <w:tabs>
          <w:tab w:val="left" w:pos="18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  <w:t>（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  <w:lang w:val="en-US" w:eastAsia="zh-CN"/>
        </w:rPr>
        <w:t>二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  <w:t>）生态环境局：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  <w:lang w:val="en-US" w:eastAsia="zh-CN"/>
        </w:rPr>
        <w:t>负责做好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  <w:t>饮用水源地保护区内新建、改建、扩建项目的环评审批工作，控制饮用水源保护区内新建项目排污口的增设；加强饮用水源保护区污染源监督管理，控制污染排放，预防水污染，对饮用水源的环境质量状况开展监测，及时发布监测结果；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  <w:lang w:val="en-US" w:eastAsia="zh-CN"/>
        </w:rPr>
        <w:t>组织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  <w:lang w:eastAsia="zh-CN"/>
        </w:rPr>
        <w:t>开展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  <w:lang w:val="en-US" w:eastAsia="zh-CN"/>
        </w:rPr>
        <w:t>突发环境事件应急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  <w:lang w:eastAsia="zh-CN"/>
        </w:rPr>
        <w:t>演练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  <w:lang w:val="en-US" w:eastAsia="zh-CN"/>
        </w:rPr>
        <w:t>和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  <w:t>水源地环境状况评估。</w:t>
      </w:r>
    </w:p>
    <w:p>
      <w:pPr>
        <w:keepNext w:val="0"/>
        <w:keepLines w:val="0"/>
        <w:pageBreakBefore w:val="0"/>
        <w:widowControl w:val="0"/>
        <w:tabs>
          <w:tab w:val="left" w:pos="18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  <w:t>（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  <w:lang w:val="en-US" w:eastAsia="zh-CN"/>
        </w:rPr>
        <w:t>三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  <w:t>）水利局：负责水源地水源工程建设的监督管理，做好饮用水源取水口日常安全巡查，对饮用水水资源实施统一监督管理。科学制定合理开发利用水资源的规划，及时向有关部门通报排涝和泄洪信息，加大水源调度，保障水源地水质；按照有关规定，开展流量（水位）实时监测。加强保护区内视频监控运维管理，实现水源地全天候监管，源头保障饮用水安全；定期开展水源地长效管理与保护评估工作。</w:t>
      </w:r>
    </w:p>
    <w:p>
      <w:pPr>
        <w:keepNext w:val="0"/>
        <w:keepLines w:val="0"/>
        <w:pageBreakBefore w:val="0"/>
        <w:widowControl w:val="0"/>
        <w:tabs>
          <w:tab w:val="left" w:pos="18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  <w:t>（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  <w:lang w:val="en-US" w:eastAsia="zh-CN"/>
        </w:rPr>
        <w:t>四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  <w:t>）住建局：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  <w:lang w:val="en-US" w:eastAsia="zh-CN"/>
        </w:rPr>
        <w:t>负责对辖区内供水安全工作实施统一监督管理，做好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  <w:lang w:eastAsia="zh-CN"/>
        </w:rPr>
        <w:t>供水设施建设和保护，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  <w:lang w:val="en-US" w:eastAsia="zh-CN"/>
        </w:rPr>
        <w:t>保障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  <w:lang w:eastAsia="zh-CN"/>
        </w:rPr>
        <w:t>全县供水安全；定期开展饮用水源地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  <w:lang w:val="en-US" w:eastAsia="zh-CN"/>
        </w:rPr>
        <w:t>供水应急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  <w:lang w:eastAsia="zh-CN"/>
        </w:rPr>
        <w:t>演练；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  <w:lang w:val="en-US" w:eastAsia="zh-CN"/>
        </w:rPr>
        <w:t>做好出厂水的水质监测与发布工作；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  <w:lang w:eastAsia="zh-CN"/>
        </w:rPr>
        <w:t>有计划地建设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  <w:t>生活污水集中处理设施，充分发挥污水处理设施的功效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  <w:t>保障全县饮用水源地水质安全。</w:t>
      </w:r>
    </w:p>
    <w:p>
      <w:pPr>
        <w:keepNext w:val="0"/>
        <w:keepLines w:val="0"/>
        <w:pageBreakBefore w:val="0"/>
        <w:widowControl w:val="0"/>
        <w:tabs>
          <w:tab w:val="left" w:pos="18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  <w:t>（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  <w:lang w:val="en-US" w:eastAsia="zh-CN"/>
        </w:rPr>
        <w:t>五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  <w:t>）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  <w:lang w:val="en-US" w:eastAsia="zh-CN"/>
        </w:rPr>
        <w:t>交运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  <w:t>局：负责做好饮用水源地通航水域内船舶待闸、随意停靠、船舶污染防治等监管工作；做好保护区内码头的拆迁与清除。</w:t>
      </w:r>
    </w:p>
    <w:p>
      <w:pPr>
        <w:keepNext w:val="0"/>
        <w:keepLines w:val="0"/>
        <w:pageBreakBefore w:val="0"/>
        <w:widowControl w:val="0"/>
        <w:tabs>
          <w:tab w:val="left" w:pos="18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  <w:t>（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  <w:lang w:val="en-US" w:eastAsia="zh-CN"/>
        </w:rPr>
        <w:t>六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  <w:t>）农业农村局：负责保护区内畜禽、水产养殖禁养监管工作，指导发展绿色农业，严格限制施用农药化肥，加强农业面源污染防治和水源地保护区内水源涵养、相关植被的保护管理。</w:t>
      </w:r>
    </w:p>
    <w:p>
      <w:pPr>
        <w:keepNext w:val="0"/>
        <w:keepLines w:val="0"/>
        <w:pageBreakBefore w:val="0"/>
        <w:widowControl w:val="0"/>
        <w:tabs>
          <w:tab w:val="left" w:pos="18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  <w:t>（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  <w:lang w:val="en-US" w:eastAsia="zh-CN"/>
        </w:rPr>
        <w:t>七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  <w:t>）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  <w:lang w:val="en-US" w:eastAsia="zh-CN"/>
        </w:rPr>
        <w:t>资规局：负责做好饮用水源保护区内水源涵养林及护坡植被保护和管理工作；开展水源地保护区内土地测绘与生态修复；保障水源地突发环境事件应急处置的用地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18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  <w:t>（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  <w:lang w:val="en-US" w:eastAsia="zh-CN"/>
        </w:rPr>
        <w:t>八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  <w:t>）卫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  <w:lang w:val="en-US" w:eastAsia="zh-CN"/>
        </w:rPr>
        <w:t>健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  <w:t>局：负责做好管网水、末梢水的水质监测与发布工作；应根据实际需要对各类供水单位的供水水质进行监督与监测；对供水单位的卫生条件及直接从事供、管水人员的健康状况进行监督、检查。</w:t>
      </w:r>
    </w:p>
    <w:p>
      <w:pPr>
        <w:keepNext w:val="0"/>
        <w:keepLines w:val="0"/>
        <w:pageBreakBefore w:val="0"/>
        <w:widowControl w:val="0"/>
        <w:tabs>
          <w:tab w:val="left" w:pos="18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  <w:t>（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  <w:lang w:val="en-US" w:eastAsia="zh-CN"/>
        </w:rPr>
        <w:t>九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  <w:t>）商务局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  <w:lang w:eastAsia="zh-CN"/>
        </w:rPr>
        <w:t>：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  <w:t>负责做好保护区内油储罐、加油站等设施的监督管理，消除对水源地水源的环境隐患。</w:t>
      </w:r>
    </w:p>
    <w:p>
      <w:pPr>
        <w:keepNext w:val="0"/>
        <w:keepLines w:val="0"/>
        <w:pageBreakBefore w:val="0"/>
        <w:widowControl w:val="0"/>
        <w:tabs>
          <w:tab w:val="left" w:pos="18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  <w:t>（十）城管局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  <w:lang w:eastAsia="zh-CN"/>
        </w:rPr>
        <w:t>：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  <w:t>负责做好保护区内城区段环境卫生管理工作，及时清除饮用水源地保护区内与供水无关的乱搭乱建设施。</w:t>
      </w:r>
    </w:p>
    <w:p>
      <w:pPr>
        <w:keepNext w:val="0"/>
        <w:keepLines w:val="0"/>
        <w:pageBreakBefore w:val="0"/>
        <w:widowControl w:val="0"/>
        <w:tabs>
          <w:tab w:val="left" w:pos="18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  <w:t>（十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  <w:lang w:val="en-US" w:eastAsia="zh-CN"/>
        </w:rPr>
        <w:t>一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  <w:t>）公安局：负责做好各饮用水源地保护区范围治安防范工作，对违反饮用水源地环境安全相关法律、法规的案件，应当给予治安处罚；构成犯罪的，移交司法机关追究刑事责任。</w:t>
      </w:r>
    </w:p>
    <w:p>
      <w:pPr>
        <w:keepNext w:val="0"/>
        <w:keepLines w:val="0"/>
        <w:pageBreakBefore w:val="0"/>
        <w:widowControl w:val="0"/>
        <w:tabs>
          <w:tab w:val="left" w:pos="18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  <w:t>（十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  <w:lang w:val="en-US" w:eastAsia="zh-CN"/>
        </w:rPr>
        <w:t>二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  <w:t>）饮用水源地所在乡镇（街道）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  <w:lang w:eastAsia="zh-CN"/>
        </w:rPr>
        <w:t>：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  <w:t>负责做好饮用水源地保护区规划地段内环境卫生工作，并及时清除一级保护区内非法种植农作物。</w:t>
      </w:r>
    </w:p>
    <w:p>
      <w:pPr>
        <w:keepNext w:val="0"/>
        <w:keepLines w:val="0"/>
        <w:pageBreakBefore w:val="0"/>
        <w:widowControl w:val="0"/>
        <w:tabs>
          <w:tab w:val="left" w:pos="18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  <w:t>（十三）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  <w:t>各供水单位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  <w:lang w:eastAsia="zh-CN"/>
        </w:rPr>
        <w:t>：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  <w:lang w:val="en-US" w:eastAsia="zh-CN"/>
        </w:rPr>
        <w:t>负责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  <w:t>加强饮用水源地取水口周边安全防护工作，配备监控、照明、隔离等硬件设施，完善应急预案、预警机制、巡查制度等管理制度；所有供水单位必须取得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  <w:lang w:val="en-US" w:eastAsia="zh-CN"/>
        </w:rPr>
        <w:t>县卫健局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  <w:t>签发的卫生许可证，直接从事供、管水的人员必须取得体检合格证；加强源水水质监测工作，制订监测制度，规范水质监测工作，日供水量万吨以上的供水企业，每日应监测1次以上，遇到突发性污染事件，须加密监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</w:rPr>
        <w:t>六、保障措施</w:t>
      </w:r>
    </w:p>
    <w:p>
      <w:pPr>
        <w:keepNext w:val="0"/>
        <w:keepLines w:val="0"/>
        <w:pageBreakBefore w:val="0"/>
        <w:widowControl w:val="0"/>
        <w:tabs>
          <w:tab w:val="left" w:pos="18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</w:pPr>
      <w:r>
        <w:rPr>
          <w:rFonts w:hint="default" w:ascii="Times New Roman" w:hAnsi="Times New Roman" w:eastAsia="楷体_GB2312" w:cs="Times New Roman"/>
          <w:color w:val="auto"/>
          <w:spacing w:val="0"/>
          <w:sz w:val="32"/>
          <w:szCs w:val="32"/>
          <w:highlight w:val="none"/>
        </w:rPr>
        <w:t>（一）落实</w:t>
      </w:r>
      <w:r>
        <w:rPr>
          <w:rFonts w:hint="default" w:ascii="Times New Roman" w:hAnsi="Times New Roman" w:eastAsia="楷体_GB2312" w:cs="Times New Roman"/>
          <w:color w:val="auto"/>
          <w:spacing w:val="0"/>
          <w:sz w:val="32"/>
          <w:szCs w:val="32"/>
          <w:highlight w:val="none"/>
          <w:lang w:val="en-US" w:eastAsia="zh-CN"/>
        </w:rPr>
        <w:t>管理</w:t>
      </w:r>
      <w:r>
        <w:rPr>
          <w:rFonts w:hint="default" w:ascii="Times New Roman" w:hAnsi="Times New Roman" w:eastAsia="楷体_GB2312" w:cs="Times New Roman"/>
          <w:color w:val="auto"/>
          <w:spacing w:val="0"/>
          <w:sz w:val="32"/>
          <w:szCs w:val="32"/>
          <w:highlight w:val="none"/>
        </w:rPr>
        <w:t>责任。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  <w:lang w:val="en-US" w:eastAsia="zh-CN"/>
        </w:rPr>
        <w:t>各单位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  <w:t>要把饮用水水源地保护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  <w:lang w:val="en-US" w:eastAsia="zh-CN"/>
        </w:rPr>
        <w:t>作为重中之重，将水源地管理与保护，纳入生态文明建设和为民办实事工程，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  <w:t>进一步加强组织领导，完善工作机制，抓好统筹协调，强化监督检查，加大整改力度，落实建设任务，切实管理和保护好饮用水水源。</w:t>
      </w:r>
    </w:p>
    <w:p>
      <w:pPr>
        <w:keepNext w:val="0"/>
        <w:keepLines w:val="0"/>
        <w:pageBreakBefore w:val="0"/>
        <w:widowControl w:val="0"/>
        <w:tabs>
          <w:tab w:val="left" w:pos="18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color w:val="auto"/>
          <w:spacing w:val="0"/>
          <w:sz w:val="32"/>
          <w:szCs w:val="32"/>
          <w:highlight w:val="none"/>
        </w:rPr>
        <w:t>（二）加强部门联动。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  <w:lang w:val="en-US" w:eastAsia="zh-CN"/>
        </w:rPr>
        <w:t>各单位既要各司其职、各负其责，也要加强沟通、协调联动，形成工作合力。水利部门牵头负责水源地水量调配和水源工程建设，生态环境部门牵头负责水源地污染防治，住建部门牵头负责供水设施建设和保护，公安部门要加强运输剧毒、危险化学品管理，交通、海事部门要加强船舶和水上浮动设施污染防治，农业、资规、卫健、商务等相关部门要各司其职、密切配合，共同做好饮用水水源地安全保护工作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  <w:t>。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  <w:lang w:val="en-US" w:eastAsia="zh-CN"/>
        </w:rPr>
        <w:t>坚持联席会议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  <w:t>和重大事项会商机制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  <w:lang w:val="en-US" w:eastAsia="zh-CN"/>
        </w:rPr>
        <w:t>，联席会议下设办公室，办公室在水利局，负责办公室日常管理工作。</w:t>
      </w:r>
    </w:p>
    <w:p>
      <w:pPr>
        <w:keepNext w:val="0"/>
        <w:keepLines w:val="0"/>
        <w:pageBreakBefore w:val="0"/>
        <w:widowControl w:val="0"/>
        <w:tabs>
          <w:tab w:val="left" w:pos="18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</w:pPr>
      <w:r>
        <w:rPr>
          <w:rFonts w:hint="default" w:ascii="Times New Roman" w:hAnsi="Times New Roman" w:eastAsia="楷体_GB2312" w:cs="Times New Roman"/>
          <w:color w:val="auto"/>
          <w:spacing w:val="0"/>
          <w:sz w:val="32"/>
          <w:szCs w:val="32"/>
          <w:highlight w:val="none"/>
        </w:rPr>
        <w:t>（三）强化工作考核。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  <w:t>细化分解各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  <w:lang w:val="en-US" w:eastAsia="zh-CN"/>
        </w:rPr>
        <w:t>单位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  <w:t>饮用水水源地管理保护工作的职责和任务，将水源地管理与保护工作纳入年度重点工作目标考核，考核结果作为评价单位、部门和领导干部工作实绩的重要内容，并对有关情况及时予以通报。对水源地保护不力、造成饮用水安全事故的，依法、依规严肃问责。</w:t>
      </w:r>
    </w:p>
    <w:p>
      <w:pPr>
        <w:keepNext w:val="0"/>
        <w:keepLines w:val="0"/>
        <w:pageBreakBefore w:val="0"/>
        <w:widowControl w:val="0"/>
        <w:tabs>
          <w:tab w:val="left" w:pos="18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tabs>
          <w:tab w:val="left" w:pos="18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18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18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18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tabs>
          <w:tab w:val="left" w:pos="18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tabs>
          <w:tab w:val="left" w:pos="18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tabs>
          <w:tab w:val="left" w:pos="18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18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18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tabs>
          <w:tab w:val="left" w:pos="18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18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18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tabs>
          <w:tab w:val="left" w:pos="18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</w:pPr>
    </w:p>
    <w:p>
      <w:pPr>
        <w:spacing w:line="560" w:lineRule="exact"/>
        <w:rPr>
          <w:rFonts w:hint="default" w:ascii="Times New Roman" w:hAnsi="Times New Roman" w:cs="Times New Roman"/>
          <w:spacing w:val="0"/>
          <w:sz w:val="32"/>
          <w:szCs w:val="32"/>
        </w:rPr>
      </w:pP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6985</wp:posOffset>
                </wp:positionH>
                <wp:positionV relativeFrom="paragraph">
                  <wp:posOffset>17145</wp:posOffset>
                </wp:positionV>
                <wp:extent cx="5615940" cy="0"/>
                <wp:effectExtent l="0" t="0" r="0" b="0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.55pt;margin-top:1.35pt;height:0pt;width:442.2pt;z-index:251662336;mso-width-relative:page;mso-height-relative:page;" filled="f" stroked="t" coordsize="21600,21600" o:gfxdata="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ObSy5fTAAAABQEAAA8AAAAAAAAAAQAgAAAAIgAAAGRycy9kb3ducmV2LnhtbFBLAQIUABQA&#10;AAAIAIdO4kD1rf0Z9QEAAOUDAAAOAAAAAAAAAAEAIAAAACIBAABkcnMvZTJvRG9jLnhtbFBLBQYA&#10;AAAABgAGAFkBAACJ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-3175</wp:posOffset>
                </wp:positionH>
                <wp:positionV relativeFrom="paragraph">
                  <wp:posOffset>425450</wp:posOffset>
                </wp:positionV>
                <wp:extent cx="5614670" cy="0"/>
                <wp:effectExtent l="0" t="0" r="0" b="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467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0.25pt;margin-top:33.5pt;height:0pt;width:442.1pt;z-index:251663360;mso-width-relative:page;mso-height-relative:page;" filled="f" stroked="t" coordsize="21600,21600" o:gfxdata="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EuBp/XWAAAABwEAAA8AAAAAAAAAAQAgAAAAIgAAAGRycy9kb3ducmV2LnhtbFBLAQIU&#10;ABQAAAAIAIdO4kB4t+q39QEAAOUDAAAOAAAAAAAAAAEAIAAAACUBAABkcnMvZTJvRG9jLnhtbFBL&#10;BQYAAAAABgAGAFkBAACM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仿宋_GB2312" w:cs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　</w:t>
      </w:r>
      <w:r>
        <w:rPr>
          <w:rFonts w:hint="default" w:ascii="Times New Roman" w:hAnsi="Times New Roman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泗阳县人民政府办公室</w:t>
      </w:r>
      <w:r>
        <w:rPr>
          <w:rFonts w:hint="default" w:ascii="Times New Roman" w:hAnsi="Times New Roman" w:eastAsia="仿宋_GB2312" w:cs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　　　　　　　　　</w:t>
      </w:r>
      <w:r>
        <w:rPr>
          <w:rFonts w:hint="default" w:ascii="Times New Roman" w:hAnsi="Times New Roman" w:eastAsia="仿宋_GB2312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　</w:t>
      </w:r>
      <w:r>
        <w:rPr>
          <w:rFonts w:hint="default" w:ascii="Times New Roman" w:hAnsi="Times New Roman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20</w:t>
      </w:r>
      <w:r>
        <w:rPr>
          <w:rFonts w:hint="default" w:ascii="Times New Roman" w:hAnsi="Times New Roman" w:eastAsia="仿宋_GB2312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23</w:t>
      </w:r>
      <w:r>
        <w:rPr>
          <w:rFonts w:hint="default" w:ascii="Times New Roman" w:hAnsi="Times New Roman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default" w:ascii="Times New Roman" w:hAnsi="Times New Roman" w:eastAsia="仿宋_GB2312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default" w:ascii="Times New Roman" w:hAnsi="Times New Roman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default" w:ascii="Times New Roman" w:hAnsi="Times New Roman" w:eastAsia="仿宋_GB2312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16</w:t>
      </w:r>
      <w:r>
        <w:rPr>
          <w:rFonts w:hint="default" w:ascii="Times New Roman" w:hAnsi="Times New Roman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日印发</w:t>
      </w:r>
      <w:r>
        <w:rPr>
          <w:rFonts w:hint="default" w:ascii="Times New Roman" w:hAnsi="Times New Roman" w:eastAsia="仿宋_GB2312" w:cs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　</w:t>
      </w:r>
    </w:p>
    <w:sectPr>
      <w:footerReference r:id="rId3" w:type="default"/>
      <w:pgSz w:w="11906" w:h="16838"/>
      <w:pgMar w:top="2098" w:right="1474" w:bottom="1984" w:left="1588" w:header="851" w:footer="1587" w:gutter="0"/>
      <w:pgNumType w:fmt="decimal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M3M2M3MTAwZjY4NjI1MDE2MzBmYzI5ZjE3YjdmM2UifQ=="/>
  </w:docVars>
  <w:rsids>
    <w:rsidRoot w:val="0044378A"/>
    <w:rsid w:val="00013AC8"/>
    <w:rsid w:val="00034496"/>
    <w:rsid w:val="00036918"/>
    <w:rsid w:val="0004776C"/>
    <w:rsid w:val="000537D9"/>
    <w:rsid w:val="00072B3E"/>
    <w:rsid w:val="0007445C"/>
    <w:rsid w:val="00080CF9"/>
    <w:rsid w:val="0008568D"/>
    <w:rsid w:val="000B4B05"/>
    <w:rsid w:val="000C67F9"/>
    <w:rsid w:val="000D221D"/>
    <w:rsid w:val="000D3FAD"/>
    <w:rsid w:val="000E2723"/>
    <w:rsid w:val="000E614A"/>
    <w:rsid w:val="000F2C67"/>
    <w:rsid w:val="000F6D7D"/>
    <w:rsid w:val="001059AA"/>
    <w:rsid w:val="00113882"/>
    <w:rsid w:val="00114845"/>
    <w:rsid w:val="001311A3"/>
    <w:rsid w:val="00133148"/>
    <w:rsid w:val="00136496"/>
    <w:rsid w:val="00140F2A"/>
    <w:rsid w:val="001433AC"/>
    <w:rsid w:val="001524BE"/>
    <w:rsid w:val="00156981"/>
    <w:rsid w:val="0016036B"/>
    <w:rsid w:val="00170B90"/>
    <w:rsid w:val="0017551B"/>
    <w:rsid w:val="0019173B"/>
    <w:rsid w:val="001917A8"/>
    <w:rsid w:val="001C1EB9"/>
    <w:rsid w:val="001D05FD"/>
    <w:rsid w:val="001E5676"/>
    <w:rsid w:val="001F565C"/>
    <w:rsid w:val="00201200"/>
    <w:rsid w:val="002024FF"/>
    <w:rsid w:val="002030CE"/>
    <w:rsid w:val="00220178"/>
    <w:rsid w:val="002216ED"/>
    <w:rsid w:val="00222423"/>
    <w:rsid w:val="0022338D"/>
    <w:rsid w:val="002245CB"/>
    <w:rsid w:val="002268DD"/>
    <w:rsid w:val="002439E9"/>
    <w:rsid w:val="00250410"/>
    <w:rsid w:val="00264FDA"/>
    <w:rsid w:val="00273895"/>
    <w:rsid w:val="00275135"/>
    <w:rsid w:val="00284B69"/>
    <w:rsid w:val="0029384C"/>
    <w:rsid w:val="002960BF"/>
    <w:rsid w:val="002C0C45"/>
    <w:rsid w:val="002D61A1"/>
    <w:rsid w:val="002E1A16"/>
    <w:rsid w:val="002F634C"/>
    <w:rsid w:val="00310A20"/>
    <w:rsid w:val="00311059"/>
    <w:rsid w:val="00311D46"/>
    <w:rsid w:val="00321E90"/>
    <w:rsid w:val="00322B8D"/>
    <w:rsid w:val="00324D19"/>
    <w:rsid w:val="00326733"/>
    <w:rsid w:val="00345082"/>
    <w:rsid w:val="00354F47"/>
    <w:rsid w:val="003647E4"/>
    <w:rsid w:val="00381736"/>
    <w:rsid w:val="003A5DFF"/>
    <w:rsid w:val="003B233E"/>
    <w:rsid w:val="003B7F57"/>
    <w:rsid w:val="003C021D"/>
    <w:rsid w:val="003C025D"/>
    <w:rsid w:val="003C117D"/>
    <w:rsid w:val="003C24D5"/>
    <w:rsid w:val="003C6C5E"/>
    <w:rsid w:val="003D22F7"/>
    <w:rsid w:val="003E1FF1"/>
    <w:rsid w:val="003F6210"/>
    <w:rsid w:val="0040166D"/>
    <w:rsid w:val="00410EB3"/>
    <w:rsid w:val="0041221B"/>
    <w:rsid w:val="00424E3B"/>
    <w:rsid w:val="00430525"/>
    <w:rsid w:val="00434360"/>
    <w:rsid w:val="004422AB"/>
    <w:rsid w:val="0044378A"/>
    <w:rsid w:val="00444965"/>
    <w:rsid w:val="004472D7"/>
    <w:rsid w:val="004602E6"/>
    <w:rsid w:val="00460B08"/>
    <w:rsid w:val="0048408D"/>
    <w:rsid w:val="00486350"/>
    <w:rsid w:val="00491856"/>
    <w:rsid w:val="00491A2C"/>
    <w:rsid w:val="004A0A7F"/>
    <w:rsid w:val="004C3A8C"/>
    <w:rsid w:val="004D036C"/>
    <w:rsid w:val="004D3CF6"/>
    <w:rsid w:val="004D7228"/>
    <w:rsid w:val="004D72F6"/>
    <w:rsid w:val="004E2D6F"/>
    <w:rsid w:val="004F245E"/>
    <w:rsid w:val="004F5DD7"/>
    <w:rsid w:val="00507712"/>
    <w:rsid w:val="00512366"/>
    <w:rsid w:val="00515A3E"/>
    <w:rsid w:val="00544AEB"/>
    <w:rsid w:val="005542A3"/>
    <w:rsid w:val="005652F4"/>
    <w:rsid w:val="0056728B"/>
    <w:rsid w:val="00570A7D"/>
    <w:rsid w:val="00574E08"/>
    <w:rsid w:val="005A6017"/>
    <w:rsid w:val="005B261A"/>
    <w:rsid w:val="005B5FD6"/>
    <w:rsid w:val="005B65EA"/>
    <w:rsid w:val="005C7A3C"/>
    <w:rsid w:val="005E1713"/>
    <w:rsid w:val="005E1C1D"/>
    <w:rsid w:val="005E3540"/>
    <w:rsid w:val="005F2658"/>
    <w:rsid w:val="0061267B"/>
    <w:rsid w:val="00613D0B"/>
    <w:rsid w:val="00622D00"/>
    <w:rsid w:val="006248DA"/>
    <w:rsid w:val="0062557D"/>
    <w:rsid w:val="006332A1"/>
    <w:rsid w:val="00635BF2"/>
    <w:rsid w:val="0063726B"/>
    <w:rsid w:val="00643207"/>
    <w:rsid w:val="00644F26"/>
    <w:rsid w:val="006534C5"/>
    <w:rsid w:val="00656383"/>
    <w:rsid w:val="00661211"/>
    <w:rsid w:val="006618AB"/>
    <w:rsid w:val="006870F7"/>
    <w:rsid w:val="0069654C"/>
    <w:rsid w:val="006A417A"/>
    <w:rsid w:val="006A6191"/>
    <w:rsid w:val="006B0F3D"/>
    <w:rsid w:val="006C4468"/>
    <w:rsid w:val="006C54DD"/>
    <w:rsid w:val="006C5635"/>
    <w:rsid w:val="006C5950"/>
    <w:rsid w:val="006C7185"/>
    <w:rsid w:val="006D5E6F"/>
    <w:rsid w:val="006F5336"/>
    <w:rsid w:val="0070420B"/>
    <w:rsid w:val="0071469B"/>
    <w:rsid w:val="00716292"/>
    <w:rsid w:val="00721B3D"/>
    <w:rsid w:val="00730BC7"/>
    <w:rsid w:val="00737918"/>
    <w:rsid w:val="00760AA2"/>
    <w:rsid w:val="007718FE"/>
    <w:rsid w:val="00773D98"/>
    <w:rsid w:val="00785CC5"/>
    <w:rsid w:val="00793491"/>
    <w:rsid w:val="0079443C"/>
    <w:rsid w:val="0079716B"/>
    <w:rsid w:val="00797EAF"/>
    <w:rsid w:val="007A4906"/>
    <w:rsid w:val="007B6989"/>
    <w:rsid w:val="007C4DF6"/>
    <w:rsid w:val="007C53F5"/>
    <w:rsid w:val="007D5B1E"/>
    <w:rsid w:val="007E34C2"/>
    <w:rsid w:val="007E5B21"/>
    <w:rsid w:val="008005A6"/>
    <w:rsid w:val="00822448"/>
    <w:rsid w:val="00823042"/>
    <w:rsid w:val="00836148"/>
    <w:rsid w:val="0084111B"/>
    <w:rsid w:val="00854F6C"/>
    <w:rsid w:val="0087022A"/>
    <w:rsid w:val="00870D4A"/>
    <w:rsid w:val="00876A8A"/>
    <w:rsid w:val="00877358"/>
    <w:rsid w:val="00897AB2"/>
    <w:rsid w:val="008A4C6A"/>
    <w:rsid w:val="008B67EC"/>
    <w:rsid w:val="008C517A"/>
    <w:rsid w:val="008D067D"/>
    <w:rsid w:val="008E714E"/>
    <w:rsid w:val="0090396E"/>
    <w:rsid w:val="009144D3"/>
    <w:rsid w:val="00916255"/>
    <w:rsid w:val="0092146A"/>
    <w:rsid w:val="00936968"/>
    <w:rsid w:val="00961BAD"/>
    <w:rsid w:val="00961CA2"/>
    <w:rsid w:val="009749E9"/>
    <w:rsid w:val="00976224"/>
    <w:rsid w:val="009B1B8A"/>
    <w:rsid w:val="009B2E5E"/>
    <w:rsid w:val="009B361D"/>
    <w:rsid w:val="009C39D5"/>
    <w:rsid w:val="009C4923"/>
    <w:rsid w:val="009C78D5"/>
    <w:rsid w:val="009E10A2"/>
    <w:rsid w:val="00A140D8"/>
    <w:rsid w:val="00A16C51"/>
    <w:rsid w:val="00A21CC9"/>
    <w:rsid w:val="00A251CA"/>
    <w:rsid w:val="00A31765"/>
    <w:rsid w:val="00A326F6"/>
    <w:rsid w:val="00A369E5"/>
    <w:rsid w:val="00A36D89"/>
    <w:rsid w:val="00A37F6F"/>
    <w:rsid w:val="00A4509D"/>
    <w:rsid w:val="00A53313"/>
    <w:rsid w:val="00A53CE9"/>
    <w:rsid w:val="00A5421A"/>
    <w:rsid w:val="00A70E90"/>
    <w:rsid w:val="00A724B5"/>
    <w:rsid w:val="00A72829"/>
    <w:rsid w:val="00A92020"/>
    <w:rsid w:val="00AA06CF"/>
    <w:rsid w:val="00AA222F"/>
    <w:rsid w:val="00AB2D6A"/>
    <w:rsid w:val="00AB5885"/>
    <w:rsid w:val="00AC2E3D"/>
    <w:rsid w:val="00AC4259"/>
    <w:rsid w:val="00AC4747"/>
    <w:rsid w:val="00AC5BDE"/>
    <w:rsid w:val="00AF2ED0"/>
    <w:rsid w:val="00AF5860"/>
    <w:rsid w:val="00B021C3"/>
    <w:rsid w:val="00B06D38"/>
    <w:rsid w:val="00B101E7"/>
    <w:rsid w:val="00B154B7"/>
    <w:rsid w:val="00B4624A"/>
    <w:rsid w:val="00B46D75"/>
    <w:rsid w:val="00B4718E"/>
    <w:rsid w:val="00B53FEB"/>
    <w:rsid w:val="00B73C07"/>
    <w:rsid w:val="00BB0250"/>
    <w:rsid w:val="00BD7580"/>
    <w:rsid w:val="00BE56D0"/>
    <w:rsid w:val="00BE576B"/>
    <w:rsid w:val="00BF18BA"/>
    <w:rsid w:val="00C063E7"/>
    <w:rsid w:val="00C07A7E"/>
    <w:rsid w:val="00C14104"/>
    <w:rsid w:val="00C14B21"/>
    <w:rsid w:val="00C2102C"/>
    <w:rsid w:val="00C21672"/>
    <w:rsid w:val="00C23D1C"/>
    <w:rsid w:val="00C26A3F"/>
    <w:rsid w:val="00C412BA"/>
    <w:rsid w:val="00C46C1F"/>
    <w:rsid w:val="00C46DAA"/>
    <w:rsid w:val="00C67939"/>
    <w:rsid w:val="00C712BA"/>
    <w:rsid w:val="00C7203A"/>
    <w:rsid w:val="00C9763F"/>
    <w:rsid w:val="00CA4B17"/>
    <w:rsid w:val="00CA5B9B"/>
    <w:rsid w:val="00CB310D"/>
    <w:rsid w:val="00CB42F3"/>
    <w:rsid w:val="00CC60B9"/>
    <w:rsid w:val="00CD38FA"/>
    <w:rsid w:val="00CE762D"/>
    <w:rsid w:val="00D00E2B"/>
    <w:rsid w:val="00D17ACD"/>
    <w:rsid w:val="00D22945"/>
    <w:rsid w:val="00D25675"/>
    <w:rsid w:val="00D4365A"/>
    <w:rsid w:val="00D4573B"/>
    <w:rsid w:val="00D50A9A"/>
    <w:rsid w:val="00D543F1"/>
    <w:rsid w:val="00D631CB"/>
    <w:rsid w:val="00D65FF6"/>
    <w:rsid w:val="00D727EB"/>
    <w:rsid w:val="00D75A9F"/>
    <w:rsid w:val="00D84182"/>
    <w:rsid w:val="00DA7C16"/>
    <w:rsid w:val="00DB104E"/>
    <w:rsid w:val="00DB1A09"/>
    <w:rsid w:val="00DC7C5C"/>
    <w:rsid w:val="00DD3BF4"/>
    <w:rsid w:val="00DD652A"/>
    <w:rsid w:val="00DE760E"/>
    <w:rsid w:val="00DF3795"/>
    <w:rsid w:val="00E10399"/>
    <w:rsid w:val="00E13C5E"/>
    <w:rsid w:val="00E14603"/>
    <w:rsid w:val="00E20B2A"/>
    <w:rsid w:val="00E214AC"/>
    <w:rsid w:val="00E263C3"/>
    <w:rsid w:val="00E266E5"/>
    <w:rsid w:val="00E6435D"/>
    <w:rsid w:val="00E6723B"/>
    <w:rsid w:val="00E67253"/>
    <w:rsid w:val="00E90891"/>
    <w:rsid w:val="00E91909"/>
    <w:rsid w:val="00E94AEF"/>
    <w:rsid w:val="00EB38BF"/>
    <w:rsid w:val="00EB4CA0"/>
    <w:rsid w:val="00EB591C"/>
    <w:rsid w:val="00EC0043"/>
    <w:rsid w:val="00EC35EB"/>
    <w:rsid w:val="00EE1E3E"/>
    <w:rsid w:val="00EF13D4"/>
    <w:rsid w:val="00EF4ACE"/>
    <w:rsid w:val="00F013A3"/>
    <w:rsid w:val="00F05BE3"/>
    <w:rsid w:val="00F07B06"/>
    <w:rsid w:val="00F25C48"/>
    <w:rsid w:val="00F2705F"/>
    <w:rsid w:val="00F43573"/>
    <w:rsid w:val="00F523A9"/>
    <w:rsid w:val="00F620F4"/>
    <w:rsid w:val="00F7748E"/>
    <w:rsid w:val="00F77D3D"/>
    <w:rsid w:val="00F95797"/>
    <w:rsid w:val="00F9690D"/>
    <w:rsid w:val="00F975FC"/>
    <w:rsid w:val="00FB60BF"/>
    <w:rsid w:val="00FC2836"/>
    <w:rsid w:val="00FD148C"/>
    <w:rsid w:val="00FD279D"/>
    <w:rsid w:val="00FD2979"/>
    <w:rsid w:val="00FD4E88"/>
    <w:rsid w:val="00FE1D17"/>
    <w:rsid w:val="00FE2CEB"/>
    <w:rsid w:val="00FE6157"/>
    <w:rsid w:val="048571DD"/>
    <w:rsid w:val="04F4637C"/>
    <w:rsid w:val="06590829"/>
    <w:rsid w:val="077A1F3E"/>
    <w:rsid w:val="078828AD"/>
    <w:rsid w:val="078F4FB2"/>
    <w:rsid w:val="07E04F25"/>
    <w:rsid w:val="0A586566"/>
    <w:rsid w:val="0ABF3DCF"/>
    <w:rsid w:val="0B6B23F3"/>
    <w:rsid w:val="0CD84691"/>
    <w:rsid w:val="0EDB640F"/>
    <w:rsid w:val="10667503"/>
    <w:rsid w:val="14E37374"/>
    <w:rsid w:val="1C8B3604"/>
    <w:rsid w:val="1C984CFF"/>
    <w:rsid w:val="1C99475D"/>
    <w:rsid w:val="1E4A0464"/>
    <w:rsid w:val="1EA63693"/>
    <w:rsid w:val="1FB905D8"/>
    <w:rsid w:val="227640AB"/>
    <w:rsid w:val="231812B7"/>
    <w:rsid w:val="24910CE6"/>
    <w:rsid w:val="24CE30BB"/>
    <w:rsid w:val="27051CCB"/>
    <w:rsid w:val="27B13B42"/>
    <w:rsid w:val="29537F16"/>
    <w:rsid w:val="2A173328"/>
    <w:rsid w:val="2A9711BE"/>
    <w:rsid w:val="2C3E6739"/>
    <w:rsid w:val="2D19634E"/>
    <w:rsid w:val="30247230"/>
    <w:rsid w:val="3105779F"/>
    <w:rsid w:val="31592A40"/>
    <w:rsid w:val="317475BD"/>
    <w:rsid w:val="33373A13"/>
    <w:rsid w:val="357C0DB5"/>
    <w:rsid w:val="359F5378"/>
    <w:rsid w:val="361E7DB5"/>
    <w:rsid w:val="363E6523"/>
    <w:rsid w:val="371B665F"/>
    <w:rsid w:val="388D2FD0"/>
    <w:rsid w:val="39E16E87"/>
    <w:rsid w:val="3FD7534D"/>
    <w:rsid w:val="41B0150F"/>
    <w:rsid w:val="458B6AE9"/>
    <w:rsid w:val="458D3EDB"/>
    <w:rsid w:val="479E785E"/>
    <w:rsid w:val="48221986"/>
    <w:rsid w:val="482F3301"/>
    <w:rsid w:val="48876E44"/>
    <w:rsid w:val="4ABF5832"/>
    <w:rsid w:val="4AE00606"/>
    <w:rsid w:val="4FBF5D0D"/>
    <w:rsid w:val="539672AF"/>
    <w:rsid w:val="562370A0"/>
    <w:rsid w:val="56DE6C43"/>
    <w:rsid w:val="56E615E6"/>
    <w:rsid w:val="5AB203FA"/>
    <w:rsid w:val="5B187FB6"/>
    <w:rsid w:val="5B336482"/>
    <w:rsid w:val="5E4D0C02"/>
    <w:rsid w:val="5F1528E6"/>
    <w:rsid w:val="60285208"/>
    <w:rsid w:val="609F606D"/>
    <w:rsid w:val="61923466"/>
    <w:rsid w:val="62B57844"/>
    <w:rsid w:val="632D7EBB"/>
    <w:rsid w:val="63FA1423"/>
    <w:rsid w:val="64B56A10"/>
    <w:rsid w:val="64CE13FE"/>
    <w:rsid w:val="64F64C55"/>
    <w:rsid w:val="65B37C6A"/>
    <w:rsid w:val="66B249F3"/>
    <w:rsid w:val="66B7237D"/>
    <w:rsid w:val="67A02F5B"/>
    <w:rsid w:val="68BB2612"/>
    <w:rsid w:val="6ADA60C7"/>
    <w:rsid w:val="6BDD6BD8"/>
    <w:rsid w:val="6DE72A04"/>
    <w:rsid w:val="6E14686D"/>
    <w:rsid w:val="6EBF1D0E"/>
    <w:rsid w:val="6F0163DB"/>
    <w:rsid w:val="6F8579E2"/>
    <w:rsid w:val="73C45B12"/>
    <w:rsid w:val="73F2705D"/>
    <w:rsid w:val="73FB2F08"/>
    <w:rsid w:val="744D7520"/>
    <w:rsid w:val="75BF3AC1"/>
    <w:rsid w:val="77647158"/>
    <w:rsid w:val="78E419E6"/>
    <w:rsid w:val="7ABF630E"/>
    <w:rsid w:val="7AC21415"/>
    <w:rsid w:val="7C5C6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semiHidden="0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3"/>
    <w:qFormat/>
    <w:uiPriority w:val="10"/>
    <w:pPr>
      <w:ind w:left="640" w:leftChars="200"/>
      <w:outlineLvl w:val="0"/>
    </w:pPr>
    <w:rPr>
      <w:rFonts w:ascii="Cambria" w:hAnsi="Cambria" w:eastAsia="黑体"/>
      <w:b/>
      <w:kern w:val="0"/>
      <w:sz w:val="32"/>
      <w:szCs w:val="20"/>
    </w:rPr>
  </w:style>
  <w:style w:type="paragraph" w:styleId="3">
    <w:name w:val="Body Text Indent"/>
    <w:basedOn w:val="1"/>
    <w:next w:val="1"/>
    <w:unhideWhenUsed/>
    <w:qFormat/>
    <w:uiPriority w:val="99"/>
    <w:pPr>
      <w:spacing w:after="120"/>
      <w:ind w:left="420" w:leftChars="200"/>
    </w:pPr>
    <w:rPr>
      <w:rFonts w:ascii="Times New Roman" w:hAnsi="Times New Roman" w:eastAsia="黑体"/>
      <w:kern w:val="0"/>
      <w:sz w:val="24"/>
      <w:szCs w:val="20"/>
    </w:rPr>
  </w:style>
  <w:style w:type="paragraph" w:styleId="4">
    <w:name w:val="Body Text"/>
    <w:basedOn w:val="1"/>
    <w:next w:val="1"/>
    <w:unhideWhenUsed/>
    <w:qFormat/>
    <w:uiPriority w:val="99"/>
  </w:style>
  <w:style w:type="paragraph" w:styleId="5">
    <w:name w:val="Balloon Text"/>
    <w:basedOn w:val="1"/>
    <w:unhideWhenUsed/>
    <w:qFormat/>
    <w:uiPriority w:val="99"/>
    <w:rPr>
      <w:sz w:val="18"/>
      <w:szCs w:val="18"/>
    </w:rPr>
  </w:style>
  <w:style w:type="paragraph" w:styleId="6">
    <w:name w:val="footer"/>
    <w:basedOn w:val="1"/>
    <w:next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footnote text"/>
    <w:basedOn w:val="1"/>
    <w:unhideWhenUsed/>
    <w:qFormat/>
    <w:uiPriority w:val="99"/>
    <w:pPr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9">
    <w:name w:val="Body Text Indent 3"/>
    <w:basedOn w:val="1"/>
    <w:qFormat/>
    <w:uiPriority w:val="0"/>
    <w:pPr>
      <w:spacing w:after="120"/>
      <w:ind w:left="200" w:leftChars="200"/>
    </w:pPr>
    <w:rPr>
      <w:sz w:val="16"/>
      <w:szCs w:val="16"/>
    </w:rPr>
  </w:style>
  <w:style w:type="character" w:styleId="12">
    <w:name w:val="Strong"/>
    <w:basedOn w:val="11"/>
    <w:qFormat/>
    <w:uiPriority w:val="22"/>
    <w:rPr>
      <w:b/>
      <w:bCs/>
    </w:rPr>
  </w:style>
  <w:style w:type="paragraph" w:customStyle="1" w:styleId="13">
    <w:name w:val="Normal Indent1"/>
    <w:basedOn w:val="1"/>
    <w:qFormat/>
    <w:uiPriority w:val="0"/>
    <w:pPr>
      <w:ind w:firstLine="420" w:firstLineChars="200"/>
    </w:pPr>
    <w:rPr>
      <w:rFonts w:hint="eastAsia"/>
    </w:rPr>
  </w:style>
  <w:style w:type="character" w:customStyle="1" w:styleId="14">
    <w:name w:val="页眉 字符"/>
    <w:basedOn w:val="11"/>
    <w:link w:val="7"/>
    <w:semiHidden/>
    <w:qFormat/>
    <w:uiPriority w:val="99"/>
    <w:rPr>
      <w:sz w:val="18"/>
      <w:szCs w:val="18"/>
    </w:rPr>
  </w:style>
  <w:style w:type="character" w:customStyle="1" w:styleId="15">
    <w:name w:val="页脚 字符"/>
    <w:basedOn w:val="11"/>
    <w:link w:val="6"/>
    <w:qFormat/>
    <w:uiPriority w:val="99"/>
    <w:rPr>
      <w:sz w:val="18"/>
      <w:szCs w:val="18"/>
    </w:rPr>
  </w:style>
  <w:style w:type="paragraph" w:customStyle="1" w:styleId="16">
    <w:name w:val="UserStyle_0"/>
    <w:qFormat/>
    <w:uiPriority w:val="0"/>
    <w:pPr>
      <w:spacing w:line="360" w:lineRule="auto"/>
      <w:ind w:firstLine="720" w:firstLineChars="200"/>
    </w:pPr>
    <w:rPr>
      <w:rFonts w:ascii="Times New Roman" w:hAnsi="Times New Roman" w:eastAsia="宋体" w:cs="Times New Roman"/>
      <w:sz w:val="24"/>
      <w:szCs w:val="22"/>
      <w:lang w:val="en-US" w:eastAsia="zh-CN" w:bidi="ar-SA"/>
    </w:rPr>
  </w:style>
  <w:style w:type="character" w:customStyle="1" w:styleId="17">
    <w:name w:val="NormalCharacter"/>
    <w:semiHidden/>
    <w:qFormat/>
    <w:uiPriority w:val="0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8">
    <w:name w:val="BodyText"/>
    <w:basedOn w:val="1"/>
    <w:qFormat/>
    <w:uiPriority w:val="0"/>
    <w:pPr>
      <w:textAlignment w:val="baseline"/>
    </w:pPr>
    <w:rPr>
      <w:rFonts w:ascii="方正仿宋_GBK" w:hAnsi="方正仿宋_GBK" w:eastAsia="方正仿宋_GBK"/>
      <w:sz w:val="32"/>
      <w:szCs w:val="3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2BAEECC-567F-41AC-A86F-FFDFA250764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daohangxitong.com</Company>
  <Pages>10</Pages>
  <Words>4296</Words>
  <Characters>4501</Characters>
  <Lines>19</Lines>
  <Paragraphs>5</Paragraphs>
  <TotalTime>5</TotalTime>
  <ScaleCrop>false</ScaleCrop>
  <LinksUpToDate>false</LinksUpToDate>
  <CharactersWithSpaces>4546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2023-04-26T09:47:00Z</dcterms:created>
  <dc:creator>Administrator</dc:creator>
  <cp:lastModifiedBy>娟子13515280820</cp:lastModifiedBy>
  <cp:lastPrinted>2023-06-19T01:21:52Z</cp:lastPrinted>
  <dcterms:modified xsi:type="dcterms:W3CDTF">2023-06-19T01:39:06Z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2F816B02CCD843F6B8CFE44A6E53E55A_13</vt:lpwstr>
  </property>
</Properties>
</file>